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October close checklist</w:t>
      </w:r>
    </w:p>
    <w:p>
      <w:r>
        <w:t>Fictional training material — all names and figures are invented.</w:t>
      </w:r>
    </w:p>
    <w:p>
      <w:r>
        <w:t>As of 3 November 2026.</w:t>
      </w:r>
    </w:p>
    <w:p>
      <w:r>
        <w:t>Bank reconciliation — Owner: Alex — Due: 4 November — Status: In progress.</w:t>
      </w:r>
    </w:p>
    <w:p>
      <w:r>
        <w:t>Accrual review — Owner: Sam — Due: 5 November — Status: Not started.</w:t>
      </w:r>
    </w:p>
    <w:p>
      <w:r>
        <w:t>Intercompany balances — Owner: Not assigned — Due: 6 November — Status: In progress.</w:t>
      </w:r>
    </w:p>
    <w:p>
      <w:r>
        <w:t>Management reporting — Owner: Priya — Due: 7 November — Status: Not started.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